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527F25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7F25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527F25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F2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497FDC8A" w:rsidR="00F305BB" w:rsidRPr="00527F25" w:rsidRDefault="00527F2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7F25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7C13B2E6" w:rsidR="00F305BB" w:rsidRPr="00527F25" w:rsidRDefault="00527F2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7F25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18321D64" w:rsidR="00F305BB" w:rsidRPr="00527F25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7F25">
              <w:rPr>
                <w:rFonts w:ascii="Times New Roman" w:hAnsi="Times New Roman"/>
              </w:rPr>
              <w:t>31201</w:t>
            </w:r>
            <w:r w:rsidR="00385047">
              <w:rPr>
                <w:rFonts w:ascii="Times New Roman" w:hAnsi="Times New Roman"/>
              </w:rPr>
              <w:t>1</w:t>
            </w:r>
            <w:r w:rsidRPr="00527F25">
              <w:rPr>
                <w:rFonts w:ascii="Times New Roman" w:hAnsi="Times New Roman"/>
              </w:rPr>
              <w:t>A</w:t>
            </w:r>
            <w:r w:rsidR="00527F25" w:rsidRPr="00527F25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34CDAF41" w:rsidR="00F305BB" w:rsidRPr="00527F25" w:rsidRDefault="00527F2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7F25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120960BB" w:rsidR="00F305BB" w:rsidRPr="007B6C7D" w:rsidRDefault="00E57BB4" w:rsidP="007B6C7D">
            <w:pPr>
              <w:tabs>
                <w:tab w:val="left" w:pos="4007"/>
              </w:tabs>
              <w:spacing w:after="0" w:line="240" w:lineRule="auto"/>
            </w:pPr>
            <w:r>
              <w:t>23.3.2022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3BF007EB" w:rsidR="00F305BB" w:rsidRPr="007B6C7D" w:rsidRDefault="00E57BB4" w:rsidP="007B6C7D">
            <w:pPr>
              <w:tabs>
                <w:tab w:val="left" w:pos="4007"/>
              </w:tabs>
              <w:spacing w:after="0" w:line="240" w:lineRule="auto"/>
            </w:pPr>
            <w:r>
              <w:t>SSOŠ Elba ,Smetanova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19A66CD4" w:rsidR="00F305BB" w:rsidRPr="007B6C7D" w:rsidRDefault="00E57BB4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4CFD7CCD" w14:textId="77777777" w:rsidR="00E57BB4" w:rsidRDefault="00E57BB4" w:rsidP="00E57BB4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36577887" w:rsidR="00EE1416" w:rsidRDefault="00527F25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prezentácia a zdieľanie OPS z oblasti rozvoja finančnej a matematickej gramotnosti. Spoločne sme diskutovali a zdieľali naše návrhy na inovatívne metódy pre rozvoj predmetných gramotností. Na záver stretnutia sme tvorili pedagogické odporúčanie.</w:t>
            </w:r>
          </w:p>
          <w:p w14:paraId="29A5C166" w14:textId="77777777" w:rsidR="00527F25" w:rsidRDefault="00527F25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1CDBD5A7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527F25">
              <w:rPr>
                <w:rFonts w:ascii="Times New Roman" w:hAnsi="Times New Roman"/>
              </w:rPr>
              <w:t>prezentácia OPS, inovatívne metódy, rozvoj finančnej a matematickej gramotnosti.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64C63B79" w:rsidR="00405AE8" w:rsidRDefault="005369F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reflexia.</w:t>
            </w:r>
          </w:p>
          <w:p w14:paraId="23E48C4B" w14:textId="38C7257D" w:rsidR="005369F8" w:rsidRDefault="005369F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4AF5F876" w14:textId="25EA5477" w:rsidR="005369F8" w:rsidRDefault="005369F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OPS.</w:t>
            </w:r>
          </w:p>
          <w:p w14:paraId="29B72297" w14:textId="02B90144" w:rsidR="005369F8" w:rsidRDefault="005369F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A80E5E1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5369F8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717AB899" w14:textId="77777777" w:rsidR="00F305BB" w:rsidRDefault="005369F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textom- vzájomné učenie sa, reflexia – od otázky k otázke.</w:t>
            </w:r>
          </w:p>
          <w:p w14:paraId="5AA3575D" w14:textId="77777777" w:rsidR="005369F8" w:rsidRDefault="005369F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buzzgroups.</w:t>
            </w:r>
          </w:p>
          <w:p w14:paraId="54BFCC9F" w14:textId="77777777" w:rsidR="005369F8" w:rsidRDefault="005369F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OPS – posledné slovo patrí mne.</w:t>
            </w:r>
          </w:p>
          <w:p w14:paraId="46ED2987" w14:textId="00C3E505" w:rsidR="005369F8" w:rsidRPr="00405AE8" w:rsidRDefault="005369F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CDFADF5" w14:textId="195D1FB4" w:rsidR="005369F8" w:rsidRPr="003316E4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316E4">
              <w:rPr>
                <w:rFonts w:ascii="Times New Roman" w:hAnsi="Times New Roman"/>
              </w:rPr>
              <w:t>V rámci stretnutia sme zdieľali skúsenosti a vytvorili nasledovný prehľad kooperatívnych metód výuky, ktoré sú dobre aplikovateľné pri rozvoji finančnej a matematickej gramotnosti:</w:t>
            </w:r>
          </w:p>
          <w:p w14:paraId="2495EF6B" w14:textId="77777777" w:rsidR="003316E4" w:rsidRPr="003316E4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8929216" w14:textId="77777777" w:rsidR="003316E4" w:rsidRDefault="005369F8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85047">
              <w:rPr>
                <w:rFonts w:ascii="Times New Roman" w:hAnsi="Times New Roman"/>
                <w:i/>
                <w:iCs/>
              </w:rPr>
              <w:t>Projektové vyučovanie</w:t>
            </w:r>
            <w:r w:rsidRPr="005369F8">
              <w:rPr>
                <w:rFonts w:ascii="Times New Roman" w:hAnsi="Times New Roman"/>
                <w:b/>
                <w:bCs/>
              </w:rPr>
              <w:t xml:space="preserve"> </w:t>
            </w:r>
            <w:r w:rsidRPr="005369F8">
              <w:rPr>
                <w:rFonts w:ascii="Times New Roman" w:hAnsi="Times New Roman"/>
                <w:bCs/>
              </w:rPr>
              <w:t>–</w:t>
            </w:r>
            <w:r w:rsidR="003316E4">
              <w:rPr>
                <w:rFonts w:ascii="Times New Roman" w:hAnsi="Times New Roman"/>
                <w:bCs/>
              </w:rPr>
              <w:t xml:space="preserve"> Pri rozvoji predmetných gramotností sa nám overuje projektové vyučovanie.</w:t>
            </w:r>
            <w:r w:rsidRPr="005369F8">
              <w:rPr>
                <w:rFonts w:ascii="Times New Roman" w:hAnsi="Times New Roman"/>
                <w:bCs/>
              </w:rPr>
              <w:t xml:space="preserve"> </w:t>
            </w:r>
            <w:r w:rsidR="003316E4">
              <w:rPr>
                <w:rFonts w:ascii="Times New Roman" w:hAnsi="Times New Roman"/>
                <w:bCs/>
              </w:rPr>
              <w:t>P</w:t>
            </w:r>
            <w:r w:rsidRPr="005369F8">
              <w:rPr>
                <w:rFonts w:ascii="Times New Roman" w:hAnsi="Times New Roman"/>
                <w:bCs/>
              </w:rPr>
              <w:t xml:space="preserve">odstatou projektového vyučovania je riešenie vzniknutého, resp. nastoleného problému žiakmi formou konkrétneho projektu. Projektové vyučovanie </w:t>
            </w:r>
            <w:r w:rsidR="003316E4">
              <w:rPr>
                <w:rFonts w:ascii="Times New Roman" w:hAnsi="Times New Roman"/>
                <w:bCs/>
              </w:rPr>
              <w:t>sa podobá</w:t>
            </w:r>
            <w:r w:rsidRPr="005369F8">
              <w:rPr>
                <w:rFonts w:ascii="Times New Roman" w:hAnsi="Times New Roman"/>
                <w:bCs/>
              </w:rPr>
              <w:t xml:space="preserve"> problémové</w:t>
            </w:r>
            <w:r w:rsidR="003316E4">
              <w:rPr>
                <w:rFonts w:ascii="Times New Roman" w:hAnsi="Times New Roman"/>
                <w:bCs/>
              </w:rPr>
              <w:t>mu</w:t>
            </w:r>
            <w:r w:rsidRPr="005369F8">
              <w:rPr>
                <w:rFonts w:ascii="Times New Roman" w:hAnsi="Times New Roman"/>
                <w:bCs/>
              </w:rPr>
              <w:t xml:space="preserve"> vyučovani</w:t>
            </w:r>
            <w:r w:rsidR="003316E4">
              <w:rPr>
                <w:rFonts w:ascii="Times New Roman" w:hAnsi="Times New Roman"/>
                <w:bCs/>
              </w:rPr>
              <w:t>u</w:t>
            </w:r>
            <w:r w:rsidRPr="005369F8">
              <w:rPr>
                <w:rFonts w:ascii="Times New Roman" w:hAnsi="Times New Roman"/>
                <w:bCs/>
              </w:rPr>
              <w:t xml:space="preserve">, žiaci tu riešia problémy, je potrebné, aby rozmýšľali, skúmali, objavovali a tvorili. V projektovom vyučovaní sa dané problémy riešia komplexne, ktoré vychádzajú nielen z obsahu ŠVP, ale aj zo skúseností žiakov, pretože sa v projektovom vyučovaní využívajú medzipredmetové vzťahy. </w:t>
            </w:r>
            <w:r w:rsidR="003316E4" w:rsidRPr="003316E4">
              <w:rPr>
                <w:rFonts w:ascii="Times New Roman" w:hAnsi="Times New Roman"/>
                <w:bCs/>
              </w:rPr>
              <w:t>R</w:t>
            </w:r>
            <w:r w:rsidRPr="005369F8">
              <w:rPr>
                <w:rFonts w:ascii="Times New Roman" w:hAnsi="Times New Roman"/>
                <w:bCs/>
              </w:rPr>
              <w:t>ealizácia projektu závisí od žiakov, od ich tvorivosti, fantázie, kritického myslenia, vnútornej motivácie, záujmov a potrieb. Pri tvorbe scenárov sú učitelia aj žiaci inšpirovaní svojím najbližším okolím a problémami</w:t>
            </w:r>
            <w:r w:rsidRPr="005369F8"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r w:rsidRPr="005369F8">
              <w:rPr>
                <w:rFonts w:ascii="Times New Roman" w:hAnsi="Times New Roman"/>
                <w:bCs/>
              </w:rPr>
              <w:t>ktoré vychádzajú z bežného života.</w:t>
            </w:r>
            <w:r w:rsidRPr="005369F8">
              <w:rPr>
                <w:rFonts w:ascii="Times New Roman" w:hAnsi="Times New Roman"/>
                <w:bCs/>
                <w:i/>
                <w:iCs/>
              </w:rPr>
              <w:t xml:space="preserve"> </w:t>
            </w:r>
          </w:p>
          <w:p w14:paraId="531E4243" w14:textId="77777777" w:rsidR="003316E4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369F8" w:rsidRPr="005369F8">
              <w:rPr>
                <w:rFonts w:ascii="Times New Roman" w:hAnsi="Times New Roman"/>
                <w:bCs/>
              </w:rPr>
              <w:t xml:space="preserve">výhody </w:t>
            </w:r>
          </w:p>
          <w:p w14:paraId="3042562D" w14:textId="5A182227" w:rsidR="003316E4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369F8" w:rsidRPr="005369F8">
              <w:rPr>
                <w:rFonts w:ascii="Times New Roman" w:hAnsi="Times New Roman"/>
                <w:bCs/>
              </w:rPr>
              <w:t xml:space="preserve">žiaci pracujú v skupinách/v tíme, </w:t>
            </w:r>
          </w:p>
          <w:p w14:paraId="225665A7" w14:textId="77777777" w:rsidR="003316E4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369F8" w:rsidRPr="005369F8">
              <w:rPr>
                <w:rFonts w:ascii="Times New Roman" w:hAnsi="Times New Roman"/>
                <w:bCs/>
              </w:rPr>
              <w:t xml:space="preserve">učia sa navzájom si pomáhať, </w:t>
            </w:r>
          </w:p>
          <w:p w14:paraId="4857462B" w14:textId="77777777" w:rsidR="003316E4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369F8" w:rsidRPr="005369F8">
              <w:rPr>
                <w:rFonts w:ascii="Times New Roman" w:hAnsi="Times New Roman"/>
                <w:bCs/>
              </w:rPr>
              <w:t>vyjadriť názor, rozvíjať zodpovednosť</w:t>
            </w:r>
          </w:p>
          <w:p w14:paraId="410F9137" w14:textId="77777777" w:rsidR="003316E4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4BD63B7" w14:textId="77777777" w:rsidR="003316E4" w:rsidRDefault="005369F8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369F8">
              <w:rPr>
                <w:rFonts w:ascii="Times New Roman" w:hAnsi="Times New Roman"/>
                <w:bCs/>
              </w:rPr>
              <w:t xml:space="preserve"> nevýhody </w:t>
            </w:r>
          </w:p>
          <w:p w14:paraId="0B63DEE7" w14:textId="52212EE5" w:rsidR="003316E4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369F8" w:rsidRPr="005369F8">
              <w:rPr>
                <w:rFonts w:ascii="Times New Roman" w:hAnsi="Times New Roman"/>
                <w:bCs/>
              </w:rPr>
              <w:t xml:space="preserve">náročnosť na prípravu učiteľa, </w:t>
            </w:r>
          </w:p>
          <w:p w14:paraId="4A396EB2" w14:textId="77777777" w:rsidR="003316E4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369F8" w:rsidRPr="005369F8">
              <w:rPr>
                <w:rFonts w:ascii="Times New Roman" w:hAnsi="Times New Roman"/>
                <w:bCs/>
              </w:rPr>
              <w:t xml:space="preserve">chýba systematickosť vzdelávania, </w:t>
            </w:r>
          </w:p>
          <w:p w14:paraId="2522DDA9" w14:textId="61B4B9D5" w:rsidR="005369F8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369F8" w:rsidRPr="005369F8">
              <w:rPr>
                <w:rFonts w:ascii="Times New Roman" w:hAnsi="Times New Roman"/>
                <w:bCs/>
              </w:rPr>
              <w:t>náročnosť na čas</w:t>
            </w:r>
          </w:p>
          <w:p w14:paraId="6D4A18F0" w14:textId="77777777" w:rsidR="003316E4" w:rsidRPr="005369F8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59E6D78" w14:textId="52EF4D8F" w:rsidR="005369F8" w:rsidRDefault="005369F8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85047">
              <w:rPr>
                <w:rFonts w:ascii="Times New Roman" w:hAnsi="Times New Roman"/>
                <w:i/>
                <w:iCs/>
              </w:rPr>
              <w:t>Mastery learning</w:t>
            </w:r>
            <w:r w:rsidRPr="005369F8">
              <w:rPr>
                <w:rFonts w:ascii="Times New Roman" w:hAnsi="Times New Roman"/>
                <w:b/>
                <w:bCs/>
              </w:rPr>
              <w:t xml:space="preserve"> </w:t>
            </w:r>
            <w:r w:rsidRPr="005369F8">
              <w:rPr>
                <w:rFonts w:ascii="Times New Roman" w:hAnsi="Times New Roman"/>
                <w:bCs/>
              </w:rPr>
              <w:t xml:space="preserve">(systém dokonalého osvojovania si učiva) – </w:t>
            </w:r>
            <w:r w:rsidR="003316E4">
              <w:rPr>
                <w:rFonts w:ascii="Times New Roman" w:hAnsi="Times New Roman"/>
                <w:bCs/>
              </w:rPr>
              <w:t>Pri tomto type učenia by si</w:t>
            </w:r>
            <w:r w:rsidRPr="005369F8">
              <w:rPr>
                <w:rFonts w:ascii="Times New Roman" w:hAnsi="Times New Roman"/>
                <w:bCs/>
              </w:rPr>
              <w:t xml:space="preserve"> každý žiak </w:t>
            </w:r>
            <w:r w:rsidR="003316E4">
              <w:rPr>
                <w:rFonts w:ascii="Times New Roman" w:hAnsi="Times New Roman"/>
                <w:bCs/>
              </w:rPr>
              <w:t>mal</w:t>
            </w:r>
            <w:r w:rsidRPr="005369F8">
              <w:rPr>
                <w:rFonts w:ascii="Times New Roman" w:hAnsi="Times New Roman"/>
                <w:bCs/>
              </w:rPr>
              <w:t xml:space="preserve"> osvojiť učivo na úrovni tzv. mastery – dokonalého osvojenia, ktoré predstavuje 80 % až 90 % predpísaného učiva. Dôležitými princípmi koncepcie je to, že učivo, ktoré si žiak má osvojiť, je rozdelené na menšie moduly, pričom každý z nich môže obsahovať učivo, ktoré sa prezentuje na 10 vyučovacích hodinách. Ďalším princípom je to, že na konci modulu žiaci dostávajú didaktické testy, ktoré sa vypĺňajú a opravujú. Najdôležitejším princípom je, že pokiaľ si žiak neosvojí učivo, nemôže prejsť k osvojovaniu si ďalšieho modulu. </w:t>
            </w:r>
          </w:p>
          <w:p w14:paraId="417F5099" w14:textId="77777777" w:rsidR="003316E4" w:rsidRPr="005369F8" w:rsidRDefault="003316E4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9DA6819" w14:textId="2C1A265D" w:rsidR="005369F8" w:rsidRPr="005369F8" w:rsidRDefault="005369F8" w:rsidP="005369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369F8">
              <w:rPr>
                <w:rFonts w:ascii="Times New Roman" w:hAnsi="Times New Roman"/>
                <w:b/>
                <w:bCs/>
              </w:rPr>
              <w:t xml:space="preserve">Mozgovo kompatibilné </w:t>
            </w:r>
            <w:r w:rsidRPr="005369F8">
              <w:rPr>
                <w:rFonts w:ascii="Times New Roman" w:hAnsi="Times New Roman"/>
                <w:bCs/>
              </w:rPr>
              <w:t xml:space="preserve">učenie (integrované tematické vyučovanie) – koncepcia sa označuje aj anglickým termínom brain-based learning. </w:t>
            </w:r>
            <w:r w:rsidR="003316E4">
              <w:rPr>
                <w:rFonts w:ascii="Times New Roman" w:hAnsi="Times New Roman"/>
                <w:bCs/>
              </w:rPr>
              <w:t>Ide o</w:t>
            </w:r>
            <w:r w:rsidRPr="005369F8">
              <w:rPr>
                <w:rFonts w:ascii="Times New Roman" w:hAnsi="Times New Roman"/>
                <w:bCs/>
              </w:rPr>
              <w:t xml:space="preserve"> komplexný prístup k vyučovaciemu procesu, ktorý vychádza z poznatkov súčasných výskumov mozgu (neurovedy a kognitívnej vedy) o tom, ako sa ľudský mozog učí prirodzeným spôsobom. Hlavným princípom koncepcie je, že sa usiluje o syntézu učiva a vytvárania tesných väzieb medzi jednotlivými vyučovacími predmetmi. </w:t>
            </w:r>
          </w:p>
          <w:p w14:paraId="2A24308C" w14:textId="77777777" w:rsidR="005369F8" w:rsidRDefault="005369F8" w:rsidP="005369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4E2ADD64" w14:textId="77777777" w:rsidR="00DF3802" w:rsidRDefault="003316E4" w:rsidP="005369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 záver sme si ešte uviedli rôzne typy kooperácie na vyučovaní. </w:t>
            </w:r>
            <w:r w:rsidR="005369F8" w:rsidRPr="005369F8">
              <w:rPr>
                <w:rFonts w:ascii="Times New Roman" w:hAnsi="Times New Roman"/>
                <w:bCs/>
              </w:rPr>
              <w:t xml:space="preserve">Jedným typom je kooperácia ako pomoc a druhým typom je kooperácia ako vzájomnosť. Kooperácia ako pomoc je založená na asistencii jednej osoby pre druhú. Dôraz sa kladie na spojenie medzi jedincami, na príťažlivosť cieľa pre všetkých účastníkov a na spolupodieľaní sa v práci pri dosahovaní cieľa. Tento typ kooperácie sa v škole realizuje ako tútorstvo, pričom žiaci pomáhajú jeden druhému a tento vzťah je riadený učiteľom. </w:t>
            </w:r>
            <w:r w:rsidR="00DF3802">
              <w:rPr>
                <w:rFonts w:ascii="Times New Roman" w:hAnsi="Times New Roman"/>
                <w:bCs/>
              </w:rPr>
              <w:t>Žiaci by mali pri tejto forme kooperácie</w:t>
            </w:r>
            <w:r w:rsidR="005369F8" w:rsidRPr="005369F8">
              <w:rPr>
                <w:rFonts w:ascii="Times New Roman" w:hAnsi="Times New Roman"/>
                <w:bCs/>
              </w:rPr>
              <w:t>:</w:t>
            </w:r>
            <w:r w:rsidR="005369F8" w:rsidRPr="005369F8">
              <w:rPr>
                <w:rFonts w:ascii="Times New Roman" w:hAnsi="Times New Roman"/>
                <w:bCs/>
              </w:rPr>
              <w:br/>
              <w:t>• mať úlohu, ktorá má byť splnená,</w:t>
            </w:r>
            <w:r w:rsidR="005369F8" w:rsidRPr="005369F8">
              <w:rPr>
                <w:rFonts w:ascii="Times New Roman" w:hAnsi="Times New Roman"/>
                <w:bCs/>
              </w:rPr>
              <w:br/>
              <w:t>• mať jasné inštrukcie na splnenie úloh,</w:t>
            </w:r>
            <w:r w:rsidR="005369F8" w:rsidRPr="005369F8">
              <w:rPr>
                <w:rFonts w:ascii="Times New Roman" w:hAnsi="Times New Roman"/>
                <w:bCs/>
              </w:rPr>
              <w:br/>
              <w:t xml:space="preserve">• mať model efektívneho správania sa </w:t>
            </w:r>
            <w:r w:rsidR="00DF3802">
              <w:rPr>
                <w:rFonts w:ascii="Times New Roman" w:hAnsi="Times New Roman"/>
                <w:bCs/>
              </w:rPr>
              <w:t>od učiteľa</w:t>
            </w:r>
            <w:r w:rsidR="005369F8" w:rsidRPr="005369F8">
              <w:rPr>
                <w:rFonts w:ascii="Times New Roman" w:hAnsi="Times New Roman"/>
                <w:bCs/>
              </w:rPr>
              <w:t>,</w:t>
            </w:r>
            <w:r w:rsidR="005369F8" w:rsidRPr="005369F8">
              <w:rPr>
                <w:rFonts w:ascii="Times New Roman" w:hAnsi="Times New Roman"/>
                <w:bCs/>
              </w:rPr>
              <w:br/>
              <w:t>• mať možnosť praktikovať tútorské správanie, ktorému je poskytnutá spätná väzba, t. j. základná informácia o úspešnosti učebných zásahov.</w:t>
            </w:r>
          </w:p>
          <w:p w14:paraId="1F365B3B" w14:textId="559E349B" w:rsidR="005369F8" w:rsidRPr="00385047" w:rsidRDefault="005369F8" w:rsidP="0038504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369F8">
              <w:rPr>
                <w:rFonts w:ascii="Times New Roman" w:hAnsi="Times New Roman"/>
                <w:bCs/>
              </w:rPr>
              <w:br/>
              <w:t xml:space="preserve">Na základe využitia tohto typu kooperácie sa dá konštatovať, že jej aktéri, aj keď ciele sa u nich líšia, majú často zlepšujúce sa učebné výsledky. </w:t>
            </w:r>
          </w:p>
          <w:p w14:paraId="2C559194" w14:textId="69BE9608" w:rsidR="005369F8" w:rsidRDefault="005369F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3DC4F44B" w:rsidR="00EE1416" w:rsidRPr="00C776AE" w:rsidRDefault="00DF3802" w:rsidP="00DF380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metódy k implementácii do pedagogického procesu.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46760E2A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DF3802">
              <w:t>Tatiana Šefčíková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33A9A98D" w:rsidR="00F305BB" w:rsidRPr="007B6C7D" w:rsidRDefault="00E57BB4" w:rsidP="007B6C7D">
            <w:pPr>
              <w:tabs>
                <w:tab w:val="left" w:pos="1114"/>
              </w:tabs>
              <w:spacing w:after="0" w:line="240" w:lineRule="auto"/>
            </w:pPr>
            <w:r>
              <w:t>23.3.2022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EDA6157" w:rsidR="00F305BB" w:rsidRPr="007B6C7D" w:rsidRDefault="00E57BB4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6AD4F549" w:rsidR="00F305BB" w:rsidRPr="007B6C7D" w:rsidRDefault="00E57BB4" w:rsidP="007B6C7D">
            <w:pPr>
              <w:tabs>
                <w:tab w:val="left" w:pos="1114"/>
              </w:tabs>
              <w:spacing w:after="0" w:line="240" w:lineRule="auto"/>
            </w:pPr>
            <w:r>
              <w:t>23.3.2022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lastRenderedPageBreak/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E57BB4" w14:paraId="06839F12" w14:textId="77777777" w:rsidTr="00EA29C1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B1A25F9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52F66B3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E57BB4" w14:paraId="061F16B7" w14:textId="77777777" w:rsidTr="00EA29C1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27A384E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CEB5BF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E57BB4" w14:paraId="33392B35" w14:textId="77777777" w:rsidTr="00EA29C1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1B7290B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AAE7E8A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E57BB4" w14:paraId="111FEB62" w14:textId="77777777" w:rsidTr="00EA29C1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33B5723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68AAD1D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E57BB4" w14:paraId="1486ADE6" w14:textId="77777777" w:rsidTr="00EA29C1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095CAC6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D90BBEF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E57BB4" w14:paraId="01EE4E1F" w14:textId="77777777" w:rsidTr="00EA29C1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DC9FD84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90F63D5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7E75A2AA" w14:textId="77777777" w:rsidR="00E57BB4" w:rsidRDefault="00E57BB4" w:rsidP="00EA29C1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2E37A034" w14:textId="77777777" w:rsidR="00E57BB4" w:rsidRDefault="00E57BB4" w:rsidP="00E57BB4">
      <w:r>
        <w:rPr>
          <w:rFonts w:cs="Calibri"/>
        </w:rPr>
        <w:t xml:space="preserve"> </w:t>
      </w:r>
    </w:p>
    <w:p w14:paraId="2709B36D" w14:textId="77777777" w:rsidR="00E57BB4" w:rsidRDefault="00E57BB4" w:rsidP="00E57BB4"/>
    <w:p w14:paraId="3A35207C" w14:textId="77777777" w:rsidR="00E57BB4" w:rsidRDefault="00E57BB4" w:rsidP="00E57BB4">
      <w:pPr>
        <w:pStyle w:val="Nadpis1"/>
        <w:jc w:val="center"/>
        <w:rPr>
          <w:sz w:val="24"/>
          <w:szCs w:val="24"/>
          <w:lang w:val="sk-SK"/>
        </w:rPr>
      </w:pPr>
      <w:r>
        <w:rPr>
          <w:b w:val="0"/>
          <w:bCs w:val="0"/>
          <w:sz w:val="24"/>
          <w:szCs w:val="24"/>
          <w:lang w:val="sk-SK"/>
        </w:rPr>
        <w:t>PREZENČNÁ LISTINA</w:t>
      </w:r>
    </w:p>
    <w:p w14:paraId="232BFE41" w14:textId="77777777" w:rsidR="00E57BB4" w:rsidRDefault="00E57BB4" w:rsidP="00E57BB4"/>
    <w:p w14:paraId="69C5C8D8" w14:textId="77777777" w:rsidR="00E57BB4" w:rsidRDefault="00E57BB4" w:rsidP="00E57BB4">
      <w:r>
        <w:t xml:space="preserve">Miesto konania stretnutia: </w:t>
      </w:r>
      <w:r>
        <w:rPr>
          <w:rFonts w:cs="Calibri"/>
          <w:sz w:val="20"/>
          <w:szCs w:val="20"/>
        </w:rPr>
        <w:t>Súkromná stredná odborná škola – ELBA, Smetanova 2, Prešov</w:t>
      </w:r>
    </w:p>
    <w:p w14:paraId="63B70060" w14:textId="1A7B85FC" w:rsidR="00E57BB4" w:rsidRDefault="00E57BB4" w:rsidP="00E57BB4">
      <w:r>
        <w:t>Dátum konania stretnutia: 23.3.</w:t>
      </w:r>
      <w:r>
        <w:t>2022</w:t>
      </w:r>
    </w:p>
    <w:p w14:paraId="7E965104" w14:textId="77777777" w:rsidR="00E57BB4" w:rsidRDefault="00E57BB4" w:rsidP="00E57BB4">
      <w:r>
        <w:t>Trvanie stretnutia: od14.45 hod</w:t>
      </w:r>
      <w:r>
        <w:tab/>
        <w:t>do17.45hod</w:t>
      </w:r>
      <w:r>
        <w:tab/>
      </w:r>
    </w:p>
    <w:p w14:paraId="67AF071A" w14:textId="77777777" w:rsidR="00E57BB4" w:rsidRDefault="00E57BB4" w:rsidP="00E57BB4"/>
    <w:p w14:paraId="40B06C01" w14:textId="77777777" w:rsidR="00E57BB4" w:rsidRDefault="00E57BB4" w:rsidP="00E57BB4">
      <w:r>
        <w:t>Zoznam účastníkov/členov pedagogického klubu: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879"/>
        <w:gridCol w:w="2383"/>
        <w:gridCol w:w="2265"/>
      </w:tblGrid>
      <w:tr w:rsidR="00E57BB4" w14:paraId="0183B23B" w14:textId="77777777" w:rsidTr="00EA29C1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2C29FF" w14:textId="77777777" w:rsidR="00E57BB4" w:rsidRDefault="00E57BB4" w:rsidP="00EA29C1">
            <w:r>
              <w:rPr>
                <w:rFonts w:cs="Calibri"/>
              </w:rPr>
              <w:t xml:space="preserve">č.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53E7FC" w14:textId="77777777" w:rsidR="00E57BB4" w:rsidRDefault="00E57BB4" w:rsidP="00EA29C1">
            <w:r>
              <w:rPr>
                <w:rFonts w:cs="Calibri"/>
              </w:rPr>
              <w:t xml:space="preserve">Meno a priezvisko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F7B245" w14:textId="77777777" w:rsidR="00E57BB4" w:rsidRDefault="00E57BB4" w:rsidP="00EA29C1">
            <w:r>
              <w:rPr>
                <w:rFonts w:cs="Calibri"/>
              </w:rPr>
              <w:t xml:space="preserve">Podpis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7EE77E" w14:textId="77777777" w:rsidR="00E57BB4" w:rsidRDefault="00E57BB4" w:rsidP="00EA29C1">
            <w:r>
              <w:rPr>
                <w:rFonts w:cs="Calibri"/>
              </w:rPr>
              <w:t xml:space="preserve">Inštitúcia </w:t>
            </w:r>
          </w:p>
        </w:tc>
      </w:tr>
      <w:tr w:rsidR="00E57BB4" w14:paraId="0372F102" w14:textId="77777777" w:rsidTr="00EA29C1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5932AA" w14:textId="77777777" w:rsidR="00E57BB4" w:rsidRDefault="00E57BB4" w:rsidP="00EA29C1">
            <w:r>
              <w:rPr>
                <w:rFonts w:cs="Calibri"/>
              </w:rPr>
              <w:t xml:space="preserve">1.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F96432" w14:textId="77777777" w:rsidR="00E57BB4" w:rsidRDefault="00E57BB4" w:rsidP="00EA29C1">
            <w:r>
              <w:rPr>
                <w:rFonts w:cs="Calibri"/>
              </w:rPr>
              <w:t xml:space="preserve">Ing.Branislav Blicha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85BF98" w14:textId="77777777" w:rsidR="00E57BB4" w:rsidRDefault="00E57BB4" w:rsidP="00EA29C1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142241" w14:textId="77777777" w:rsidR="00E57BB4" w:rsidRDefault="00E57BB4" w:rsidP="00EA29C1">
            <w:r>
              <w:rPr>
                <w:rFonts w:cs="Calibri"/>
              </w:rPr>
              <w:t xml:space="preserve">SSOŠ ELBA  </w:t>
            </w:r>
          </w:p>
        </w:tc>
      </w:tr>
      <w:tr w:rsidR="00E57BB4" w14:paraId="44CF85D9" w14:textId="77777777" w:rsidTr="00EA29C1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948196" w14:textId="77777777" w:rsidR="00E57BB4" w:rsidRDefault="00E57BB4" w:rsidP="00EA29C1">
            <w:r>
              <w:rPr>
                <w:rFonts w:cs="Calibri"/>
              </w:rPr>
              <w:t xml:space="preserve">2.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3C499C" w14:textId="77777777" w:rsidR="00E57BB4" w:rsidRDefault="00E57BB4" w:rsidP="00EA29C1">
            <w:r>
              <w:rPr>
                <w:rFonts w:cs="Calibri"/>
                <w:color w:val="323130"/>
              </w:rPr>
              <w:t xml:space="preserve">Ing. Marcela Hadviždžáková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E0B1BA" w14:textId="77777777" w:rsidR="00E57BB4" w:rsidRDefault="00E57BB4" w:rsidP="00EA29C1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0EEE0F" w14:textId="77777777" w:rsidR="00E57BB4" w:rsidRDefault="00E57BB4" w:rsidP="00EA29C1">
            <w:r>
              <w:rPr>
                <w:rFonts w:cs="Calibri"/>
              </w:rPr>
              <w:t xml:space="preserve">SSOŠ ELBA </w:t>
            </w:r>
          </w:p>
        </w:tc>
      </w:tr>
      <w:tr w:rsidR="00E57BB4" w14:paraId="0AB5064E" w14:textId="77777777" w:rsidTr="00EA29C1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4EABD9" w14:textId="77777777" w:rsidR="00E57BB4" w:rsidRDefault="00E57BB4" w:rsidP="00EA29C1">
            <w:r>
              <w:rPr>
                <w:rFonts w:cs="Calibri"/>
              </w:rPr>
              <w:t xml:space="preserve">3.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2391C1" w14:textId="77777777" w:rsidR="00E57BB4" w:rsidRDefault="00E57BB4" w:rsidP="00EA29C1">
            <w:r>
              <w:rPr>
                <w:rFonts w:cs="Calibri"/>
              </w:rPr>
              <w:t xml:space="preserve">Mgr, Viera Voľanská Huntejová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9B5E7F" w14:textId="77777777" w:rsidR="00E57BB4" w:rsidRDefault="00E57BB4" w:rsidP="00EA29C1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50F9F" w14:textId="77777777" w:rsidR="00E57BB4" w:rsidRDefault="00E57BB4" w:rsidP="00EA29C1">
            <w:r>
              <w:rPr>
                <w:rFonts w:cs="Calibri"/>
              </w:rPr>
              <w:t xml:space="preserve">SSOŠ ELBA </w:t>
            </w:r>
          </w:p>
        </w:tc>
      </w:tr>
      <w:tr w:rsidR="00E57BB4" w14:paraId="49727F6A" w14:textId="77777777" w:rsidTr="00EA29C1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BF9302" w14:textId="77777777" w:rsidR="00E57BB4" w:rsidRDefault="00E57BB4" w:rsidP="00EA29C1">
            <w:r>
              <w:rPr>
                <w:rFonts w:cs="Calibri"/>
              </w:rPr>
              <w:t xml:space="preserve">4.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77A82B" w14:textId="77777777" w:rsidR="00E57BB4" w:rsidRDefault="00E57BB4" w:rsidP="00EA29C1">
            <w:r>
              <w:rPr>
                <w:rFonts w:cs="Calibri"/>
              </w:rPr>
              <w:t xml:space="preserve">Mgr.Karina Kováčová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7B3770" w14:textId="77777777" w:rsidR="00E57BB4" w:rsidRDefault="00E57BB4" w:rsidP="00EA29C1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A97E7" w14:textId="77777777" w:rsidR="00E57BB4" w:rsidRDefault="00E57BB4" w:rsidP="00EA29C1">
            <w:r>
              <w:rPr>
                <w:rFonts w:cs="Calibri"/>
              </w:rPr>
              <w:t xml:space="preserve">SSOŠ ELBA </w:t>
            </w:r>
          </w:p>
        </w:tc>
      </w:tr>
      <w:tr w:rsidR="00E57BB4" w14:paraId="6789A636" w14:textId="77777777" w:rsidTr="00EA29C1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8EE125" w14:textId="77777777" w:rsidR="00E57BB4" w:rsidRDefault="00E57BB4" w:rsidP="00EA29C1">
            <w:r>
              <w:rPr>
                <w:rFonts w:cs="Calibri"/>
              </w:rPr>
              <w:t xml:space="preserve">5.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6027E7" w14:textId="77777777" w:rsidR="00E57BB4" w:rsidRDefault="00E57BB4" w:rsidP="00EA29C1">
            <w:r>
              <w:rPr>
                <w:rFonts w:cs="Calibri"/>
              </w:rPr>
              <w:t xml:space="preserve">Ing. Matúš Grega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E78C20" w14:textId="77777777" w:rsidR="00E57BB4" w:rsidRDefault="00E57BB4" w:rsidP="00EA29C1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F7A534" w14:textId="77777777" w:rsidR="00E57BB4" w:rsidRDefault="00E57BB4" w:rsidP="00EA29C1">
            <w:r>
              <w:rPr>
                <w:rFonts w:cs="Calibri"/>
              </w:rPr>
              <w:t xml:space="preserve">SSOŠ ELBA </w:t>
            </w:r>
          </w:p>
        </w:tc>
      </w:tr>
      <w:tr w:rsidR="00E57BB4" w14:paraId="404D3DE9" w14:textId="77777777" w:rsidTr="00EA29C1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BA5C3B" w14:textId="77777777" w:rsidR="00E57BB4" w:rsidRDefault="00E57BB4" w:rsidP="00EA29C1">
            <w:r>
              <w:rPr>
                <w:rFonts w:cs="Calibri"/>
              </w:rPr>
              <w:t xml:space="preserve">6.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710B83" w14:textId="77777777" w:rsidR="00E57BB4" w:rsidRDefault="00E57BB4" w:rsidP="00EA29C1">
            <w:r>
              <w:rPr>
                <w:rFonts w:cs="Calibri"/>
              </w:rPr>
              <w:t xml:space="preserve">Ing. Tatiana Šefčiková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396C0" w14:textId="77777777" w:rsidR="00E57BB4" w:rsidRDefault="00E57BB4" w:rsidP="00EA29C1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4B2EBF" w14:textId="77777777" w:rsidR="00E57BB4" w:rsidRDefault="00E57BB4" w:rsidP="00EA29C1">
            <w:r>
              <w:rPr>
                <w:rFonts w:cs="Calibri"/>
              </w:rPr>
              <w:t>SSOŠ ELBA</w:t>
            </w:r>
          </w:p>
        </w:tc>
      </w:tr>
    </w:tbl>
    <w:p w14:paraId="00B03056" w14:textId="77777777" w:rsidR="00F305BB" w:rsidRPr="001544C0" w:rsidRDefault="00F305BB" w:rsidP="00D0796E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E57BB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1BA46" w14:textId="77777777" w:rsidR="001D455E" w:rsidRDefault="001D455E" w:rsidP="00CF35D8">
      <w:pPr>
        <w:spacing w:after="0" w:line="240" w:lineRule="auto"/>
      </w:pPr>
      <w:r>
        <w:separator/>
      </w:r>
    </w:p>
  </w:endnote>
  <w:endnote w:type="continuationSeparator" w:id="0">
    <w:p w14:paraId="37E3EBCD" w14:textId="77777777" w:rsidR="001D455E" w:rsidRDefault="001D455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44F7" w14:textId="77777777" w:rsidR="001D455E" w:rsidRDefault="001D455E" w:rsidP="00CF35D8">
      <w:pPr>
        <w:spacing w:after="0" w:line="240" w:lineRule="auto"/>
      </w:pPr>
      <w:r>
        <w:separator/>
      </w:r>
    </w:p>
  </w:footnote>
  <w:footnote w:type="continuationSeparator" w:id="0">
    <w:p w14:paraId="76127CCA" w14:textId="77777777" w:rsidR="001D455E" w:rsidRDefault="001D455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55E"/>
    <w:rsid w:val="001D498E"/>
    <w:rsid w:val="001F66D7"/>
    <w:rsid w:val="00203036"/>
    <w:rsid w:val="00225CD9"/>
    <w:rsid w:val="00234F96"/>
    <w:rsid w:val="002819D1"/>
    <w:rsid w:val="002A4CE2"/>
    <w:rsid w:val="002D7F9B"/>
    <w:rsid w:val="002D7FC6"/>
    <w:rsid w:val="002E3F1A"/>
    <w:rsid w:val="00307DB0"/>
    <w:rsid w:val="0032433B"/>
    <w:rsid w:val="003316E4"/>
    <w:rsid w:val="0034733D"/>
    <w:rsid w:val="003700F7"/>
    <w:rsid w:val="0038504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27F25"/>
    <w:rsid w:val="005361EC"/>
    <w:rsid w:val="005369F8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95180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DF3802"/>
    <w:rsid w:val="00E20B98"/>
    <w:rsid w:val="00E33AAA"/>
    <w:rsid w:val="00E36C97"/>
    <w:rsid w:val="00E57BB4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2022-03-22T12:03:00Z</dcterms:created>
  <dcterms:modified xsi:type="dcterms:W3CDTF">2022-03-22T12:03:00Z</dcterms:modified>
</cp:coreProperties>
</file>