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FC" w:rsidRPr="00C516D3" w:rsidRDefault="00E644FC" w:rsidP="00E644FC">
      <w:pPr>
        <w:pBdr>
          <w:top w:val="nil"/>
          <w:left w:val="nil"/>
          <w:bottom w:val="nil"/>
          <w:right w:val="nil"/>
          <w:between w:val="nil"/>
        </w:pBdr>
        <w:spacing w:after="0" w:line="360" w:lineRule="auto"/>
        <w:rPr>
          <w:rFonts w:ascii="Arial" w:eastAsia="Times New Roman" w:hAnsi="Arial" w:cs="Arial"/>
          <w:sz w:val="20"/>
          <w:szCs w:val="20"/>
          <w:lang w:eastAsia="pl-PL"/>
        </w:rPr>
      </w:pPr>
      <w:r w:rsidRPr="00C516D3">
        <w:rPr>
          <w:rFonts w:ascii="Arial" w:eastAsia="Times New Roman" w:hAnsi="Arial" w:cs="Arial"/>
          <w:b/>
          <w:color w:val="000000"/>
          <w:sz w:val="20"/>
          <w:szCs w:val="20"/>
          <w:lang w:eastAsia="pl-PL"/>
        </w:rPr>
        <w:t>MATERIAŁ NAUCZANIA Praktyka zawodowa</w:t>
      </w:r>
      <w:r w:rsidRPr="00C516D3">
        <w:rPr>
          <w:rFonts w:ascii="Arial" w:eastAsia="Times New Roman" w:hAnsi="Arial" w:cs="Arial"/>
          <w:i/>
          <w:color w:val="FF0000"/>
          <w:sz w:val="20"/>
          <w:szCs w:val="20"/>
          <w:lang w:eastAsia="pl-PL"/>
        </w:rPr>
        <w:br/>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E644FC" w:rsidRPr="00C516D3" w:rsidTr="0035442F">
        <w:tc>
          <w:tcPr>
            <w:tcW w:w="1662" w:type="dxa"/>
            <w:vMerge w:val="restart"/>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Dział programowy</w:t>
            </w:r>
          </w:p>
        </w:tc>
        <w:tc>
          <w:tcPr>
            <w:tcW w:w="3072" w:type="dxa"/>
            <w:vMerge w:val="restart"/>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Tematy jednostek metodycznych</w:t>
            </w:r>
          </w:p>
        </w:tc>
        <w:tc>
          <w:tcPr>
            <w:tcW w:w="1470" w:type="dxa"/>
            <w:vMerge w:val="restart"/>
          </w:tcPr>
          <w:p w:rsidR="00E644FC" w:rsidRPr="00C516D3" w:rsidRDefault="00E644FC" w:rsidP="0035442F">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pl-PL"/>
              </w:rPr>
            </w:pPr>
            <w:r w:rsidRPr="00C516D3">
              <w:rPr>
                <w:rFonts w:ascii="Arial" w:eastAsia="Times New Roman" w:hAnsi="Arial" w:cs="Arial"/>
                <w:sz w:val="20"/>
                <w:szCs w:val="20"/>
                <w:lang w:eastAsia="pl-PL"/>
              </w:rPr>
              <w:t>Liczba godz.</w:t>
            </w:r>
          </w:p>
        </w:tc>
        <w:tc>
          <w:tcPr>
            <w:tcW w:w="6237" w:type="dxa"/>
            <w:gridSpan w:val="2"/>
          </w:tcPr>
          <w:p w:rsidR="00E644FC" w:rsidRPr="00C516D3" w:rsidRDefault="00E644FC" w:rsidP="0035442F">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pl-PL"/>
              </w:rPr>
            </w:pPr>
            <w:r w:rsidRPr="00C516D3">
              <w:rPr>
                <w:rFonts w:ascii="Arial" w:eastAsia="Times New Roman" w:hAnsi="Arial" w:cs="Arial"/>
                <w:sz w:val="20"/>
                <w:szCs w:val="20"/>
                <w:lang w:eastAsia="pl-PL"/>
              </w:rPr>
              <w:t>Wymagania programowe</w:t>
            </w:r>
          </w:p>
        </w:tc>
        <w:tc>
          <w:tcPr>
            <w:tcW w:w="1417"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Uwagi o realizacji</w:t>
            </w: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70" w:type="dxa"/>
            <w:vMerge/>
          </w:tcPr>
          <w:p w:rsidR="00E644FC" w:rsidRPr="00C516D3" w:rsidRDefault="00E644FC" w:rsidP="0035442F">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pl-PL"/>
              </w:rPr>
            </w:pP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Podstawowe</w:t>
            </w:r>
          </w:p>
          <w:p w:rsidR="00E644FC" w:rsidRPr="00C516D3" w:rsidRDefault="00E644FC" w:rsidP="0035442F">
            <w:pPr>
              <w:pBdr>
                <w:top w:val="nil"/>
                <w:left w:val="nil"/>
                <w:bottom w:val="nil"/>
                <w:right w:val="nil"/>
                <w:between w:val="nil"/>
              </w:pBdr>
              <w:spacing w:after="0" w:line="240" w:lineRule="auto"/>
              <w:rPr>
                <w:rFonts w:ascii="Times New Roman" w:eastAsia="Times New Roman" w:hAnsi="Times New Roman" w:cs="Times New Roman"/>
                <w:b/>
                <w:sz w:val="20"/>
                <w:szCs w:val="20"/>
                <w:lang w:eastAsia="pl-PL"/>
              </w:rPr>
            </w:pPr>
            <w:r w:rsidRPr="00C516D3">
              <w:rPr>
                <w:rFonts w:ascii="Arial" w:eastAsia="Times New Roman" w:hAnsi="Arial" w:cs="Arial"/>
                <w:b/>
                <w:sz w:val="20"/>
                <w:szCs w:val="20"/>
                <w:lang w:eastAsia="pl-PL"/>
              </w:rPr>
              <w:t>Uczeń potrafi:</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Ponadpodstawowe</w:t>
            </w:r>
          </w:p>
          <w:p w:rsidR="00E644FC" w:rsidRPr="00C516D3" w:rsidRDefault="00E644FC" w:rsidP="0035442F">
            <w:pPr>
              <w:pBdr>
                <w:top w:val="nil"/>
                <w:left w:val="nil"/>
                <w:bottom w:val="nil"/>
                <w:right w:val="nil"/>
                <w:between w:val="nil"/>
              </w:pBdr>
              <w:spacing w:after="0" w:line="240" w:lineRule="auto"/>
              <w:rPr>
                <w:rFonts w:ascii="Times New Roman" w:eastAsia="Times New Roman" w:hAnsi="Times New Roman" w:cs="Times New Roman"/>
                <w:b/>
                <w:sz w:val="20"/>
                <w:szCs w:val="20"/>
                <w:lang w:eastAsia="pl-PL"/>
              </w:rPr>
            </w:pPr>
            <w:r w:rsidRPr="00C516D3">
              <w:rPr>
                <w:rFonts w:ascii="Arial" w:eastAsia="Times New Roman" w:hAnsi="Arial" w:cs="Arial"/>
                <w:b/>
                <w:sz w:val="20"/>
                <w:szCs w:val="20"/>
                <w:lang w:eastAsia="pl-PL"/>
              </w:rPr>
              <w:t>Uczeń potrafi:</w:t>
            </w:r>
          </w:p>
        </w:tc>
        <w:tc>
          <w:tcPr>
            <w:tcW w:w="1417"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Etap realizacji</w:t>
            </w:r>
          </w:p>
        </w:tc>
      </w:tr>
      <w:tr w:rsidR="00E644FC" w:rsidRPr="00C516D3" w:rsidTr="0035442F">
        <w:tc>
          <w:tcPr>
            <w:tcW w:w="1662" w:type="dxa"/>
            <w:vMerge w:val="restart"/>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I.</w:t>
            </w:r>
            <w:r w:rsidRPr="00C516D3">
              <w:rPr>
                <w:rFonts w:ascii="Times New Roman" w:eastAsia="Times New Roman" w:hAnsi="Times New Roman" w:cs="Times New Roman"/>
                <w:sz w:val="24"/>
                <w:szCs w:val="24"/>
                <w:lang w:eastAsia="pl-PL"/>
              </w:rPr>
              <w:t xml:space="preserve"> </w:t>
            </w:r>
            <w:r w:rsidRPr="00C516D3">
              <w:rPr>
                <w:rFonts w:ascii="Arial" w:eastAsia="Times New Roman" w:hAnsi="Arial" w:cs="Arial"/>
                <w:sz w:val="20"/>
                <w:szCs w:val="20"/>
                <w:lang w:eastAsia="pl-PL"/>
              </w:rPr>
              <w:t>Eksploatacja złóż</w:t>
            </w: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1. Roboty górnicze związane z drążeniem i utrzymaniem podziemnych wyrobisk górniczych</w:t>
            </w:r>
          </w:p>
        </w:tc>
        <w:tc>
          <w:tcPr>
            <w:tcW w:w="1470" w:type="dxa"/>
          </w:tcPr>
          <w:p w:rsidR="00E644FC" w:rsidRPr="00C516D3" w:rsidRDefault="00723E77"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sposoby wykonywania wyrobisk chodnikowych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kierunku i niwelacji  wyrobiska korytarzowego</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kontrolować stan obudowy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wykonać wzmacnianie obudowy wyrobisk korytarzowych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wykonania pobierki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przebudowy zawałów</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stan spągu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klasyfikować obudowy górnicze ze względu na materiał wykonania, współpracę z górotworem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wiązania obudowy drewnianej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wyjaśnić oznaczenia stosowane w opisie </w:t>
            </w:r>
            <w:r w:rsidRPr="00C516D3">
              <w:rPr>
                <w:rFonts w:ascii="Arial" w:eastAsia="Times New Roman" w:hAnsi="Arial" w:cs="Arial"/>
                <w:sz w:val="20"/>
                <w:szCs w:val="20"/>
                <w:lang w:eastAsia="pl-PL"/>
              </w:rPr>
              <w:br/>
              <w:t xml:space="preserve">obudowy </w:t>
            </w:r>
            <w:proofErr w:type="spellStart"/>
            <w:r w:rsidRPr="00C516D3">
              <w:rPr>
                <w:rFonts w:ascii="Arial" w:eastAsia="Times New Roman" w:hAnsi="Arial" w:cs="Arial"/>
                <w:sz w:val="20"/>
                <w:szCs w:val="20"/>
                <w:lang w:eastAsia="pl-PL"/>
              </w:rPr>
              <w:t>łp</w:t>
            </w:r>
            <w:proofErr w:type="spellEnd"/>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rozpoznać elementy obudowy górniczej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dobrać narzędzia niezbędne do zabudowy obudowy górniczej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stawiać obudowę </w:t>
            </w:r>
            <w:r w:rsidRPr="00C516D3">
              <w:rPr>
                <w:rFonts w:ascii="Arial" w:eastAsia="Times New Roman" w:hAnsi="Arial" w:cs="Arial"/>
                <w:sz w:val="20"/>
                <w:szCs w:val="20"/>
                <w:lang w:eastAsia="pl-PL"/>
              </w:rPr>
              <w:br/>
              <w:t xml:space="preserve">drewnianą, </w:t>
            </w:r>
            <w:proofErr w:type="spellStart"/>
            <w:r w:rsidRPr="00C516D3">
              <w:rPr>
                <w:rFonts w:ascii="Arial" w:eastAsia="Times New Roman" w:hAnsi="Arial" w:cs="Arial"/>
                <w:sz w:val="20"/>
                <w:szCs w:val="20"/>
                <w:lang w:eastAsia="pl-PL"/>
              </w:rPr>
              <w:t>łp</w:t>
            </w:r>
            <w:proofErr w:type="spellEnd"/>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wymienić elementy</w:t>
            </w:r>
            <w:r w:rsidRPr="00C516D3">
              <w:rPr>
                <w:rFonts w:ascii="Arial" w:eastAsia="Times New Roman" w:hAnsi="Arial" w:cs="Arial"/>
                <w:sz w:val="20"/>
                <w:szCs w:val="20"/>
                <w:lang w:eastAsia="pl-PL"/>
              </w:rPr>
              <w:br/>
              <w:t xml:space="preserve"> obudowy </w:t>
            </w:r>
            <w:proofErr w:type="spellStart"/>
            <w:r w:rsidRPr="00C516D3">
              <w:rPr>
                <w:rFonts w:ascii="Arial" w:eastAsia="Times New Roman" w:hAnsi="Arial" w:cs="Arial"/>
                <w:sz w:val="20"/>
                <w:szCs w:val="20"/>
                <w:lang w:eastAsia="pl-PL"/>
              </w:rPr>
              <w:t>łp</w:t>
            </w:r>
            <w:proofErr w:type="spellEnd"/>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sposoby wzmacniania obudowy wyrobisk korytarzowych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dobrać narzędzia potrzebne do zabudowy stojaków stalowych, ciernych </w:t>
            </w:r>
            <w:r w:rsidRPr="00C516D3">
              <w:rPr>
                <w:rFonts w:ascii="Arial" w:eastAsia="Times New Roman" w:hAnsi="Arial" w:cs="Arial"/>
                <w:sz w:val="20"/>
                <w:szCs w:val="20"/>
                <w:lang w:eastAsia="pl-PL"/>
              </w:rPr>
              <w:br/>
              <w:t>i hydraulicznych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stawiać i likwidować stojaki stalowe, cierne i hydrauliczne z wykorzystaniem odpowiednich narzędzi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objaśnić sposób przebudowy wyrobisk korytarzowych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kotwy stosowane w górnictwie podziemnym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uzasadniać stosowanie obudowy kotwowej</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kontrolować kierunek wyrobiska korytarzowego</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przebudowy wyrobiska korytarzowego z przybierką</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kontrolować stateczność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wskazać parametry użytkowe obudów górniczych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wykonać zabudowę wzmocnień obudowy wyrobisk korytarzowych</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2. Metody drążenia podziemnych wyrobisk górniczych</w:t>
            </w:r>
          </w:p>
        </w:tc>
        <w:tc>
          <w:tcPr>
            <w:tcW w:w="1470" w:type="dxa"/>
          </w:tcPr>
          <w:p w:rsidR="00E644FC" w:rsidRPr="00C516D3" w:rsidRDefault="00723E77"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przedstawiać metody drążenia wyrobisk udostępniających </w:t>
            </w:r>
            <w:r w:rsidRPr="00C516D3">
              <w:rPr>
                <w:rFonts w:ascii="Arial" w:eastAsia="Times New Roman" w:hAnsi="Arial" w:cs="Arial"/>
                <w:sz w:val="20"/>
                <w:szCs w:val="20"/>
                <w:lang w:eastAsia="pl-PL"/>
              </w:rPr>
              <w:br/>
              <w:t>i przygotowawczych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przedstawiać metody urabiania skał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dobrać narzędzia wykorzystywane do ręcznego urabiania skał</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przedstawiać metodę urabiania skał za pomocą kombajnów chodnikowych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opisać strukturę grupy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wskazać cechy przywództwa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podać przykłady dobrych praktyk współpracy w grupie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planować działania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wskazać poszczególne zadania członkom grupy</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dobrać metodę drążenia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analizować dokumentację robót przodkowych</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3.</w:t>
            </w:r>
            <w:r w:rsidRPr="00C516D3">
              <w:rPr>
                <w:rFonts w:ascii="Times New Roman" w:eastAsia="Times New Roman" w:hAnsi="Times New Roman" w:cs="Times New Roman"/>
                <w:sz w:val="24"/>
                <w:szCs w:val="24"/>
                <w:lang w:eastAsia="pl-PL"/>
              </w:rPr>
              <w:t xml:space="preserve"> </w:t>
            </w:r>
            <w:r w:rsidRPr="00C516D3">
              <w:rPr>
                <w:rFonts w:ascii="Arial" w:eastAsia="Times New Roman" w:hAnsi="Arial" w:cs="Arial"/>
                <w:sz w:val="20"/>
                <w:szCs w:val="20"/>
                <w:lang w:eastAsia="pl-PL"/>
              </w:rPr>
              <w:t>Roboty górnicze związane z likwidacją podziemnych wyrobisk górniczych</w:t>
            </w:r>
          </w:p>
        </w:tc>
        <w:tc>
          <w:tcPr>
            <w:tcW w:w="1470" w:type="dxa"/>
          </w:tcPr>
          <w:p w:rsidR="00E644FC" w:rsidRPr="00C516D3" w:rsidRDefault="000A7BEB"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bookmarkStart w:id="0" w:name="_GoBack"/>
            <w:bookmarkEnd w:id="0"/>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sposoby likwidacji wyrobisk</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likwidację wyrobisk poprzez zawał całkowity i częściowy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likwidację wyrobisk za pomocą podsadzki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dobierać zespół do wykonywanego zadania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role poszczególnych członków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przydzielić zadania członkom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przewidzieć skutki niewłaściwego doboru osób </w:t>
            </w:r>
            <w:r w:rsidRPr="00C516D3">
              <w:rPr>
                <w:rFonts w:ascii="Arial" w:eastAsia="Times New Roman" w:hAnsi="Arial" w:cs="Arial"/>
                <w:sz w:val="20"/>
                <w:szCs w:val="20"/>
                <w:lang w:eastAsia="pl-PL"/>
              </w:rPr>
              <w:br/>
              <w:t>do zadań</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materiały stosowane do podsadzki </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4. Parametry drążenia i przebudowy podziemnych wyrobisk górniczych</w:t>
            </w:r>
          </w:p>
        </w:tc>
        <w:tc>
          <w:tcPr>
            <w:tcW w:w="1470" w:type="dxa"/>
          </w:tcPr>
          <w:p w:rsidR="00E644FC" w:rsidRPr="00C516D3" w:rsidRDefault="00723E77"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kształt i przekrój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nachylenie i kierunek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pomiarów kierunku i niwelacji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parametry przebudowy wyrobiska</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5. Zasady wykonywania robót strzałowych</w:t>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przedstawiać metodę urabiania skał za pomocą materiałów wybuchowych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posługiwać się dokumentacją robót strzałowych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zawartość metryki strzałowej: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a. części opisowej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b. części rysunkowej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materiały wybuchowe i sprzęt strzałowy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podziału górniczych materiałów wybuchowych pod względem bezpieczeństwa wobec metanu i pyłu węglowego</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wymienić warunki stawiane górniczym materiałom wybuchowym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opakowania górniczych materiałów wybuchowych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klasyfikować środki zapalające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wymienić przyrządy do pomiaru oporu obwodów strzałowych i prądów błądzących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klasyfikować przyrządy do pomiaru oporu obwodów strzałowych i prądów błądzących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obwody strzałowe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obliczać oporność obwodów strzałowych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przygotować wiercenie otworów strzałowych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wiercić otwory strzałowe</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xml:space="preserve">- dokonać podziału górniczych materiałów wybuchowych pod względem składu chemicznego </w:t>
            </w:r>
            <w:r w:rsidRPr="00C516D3">
              <w:rPr>
                <w:rFonts w:ascii="Arial" w:eastAsia="Times New Roman" w:hAnsi="Arial" w:cs="Arial"/>
                <w:sz w:val="20"/>
                <w:szCs w:val="20"/>
                <w:lang w:eastAsia="pl-PL"/>
              </w:rPr>
              <w:br/>
              <w:t>i postaci fizyczne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środki inicjujące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6. Zabezpieczenie podziemnych wyrobisk górniczych</w:t>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sposoby zabezpieczeń podziemnych wyrobisk górniczych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elementy zabezpieczające podziemne wyrobiska górnicze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wykonać roboty związane z zabezpieczaniem podziemnych wyrobisk górniczych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ustalić kolejność wykonywania zadań</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wydać dyspozycje osobom wykonującym poszczególne zadania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określić sposoby monitorowania procesu wykonywania zadań</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stosować techniki komunikowania się</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stosować metody motywowania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udzielić motywującej informacji zwrotnej członkom zespołu</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7. Urządzenia i elementy wentylacji i klimatyzacji</w:t>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wymienić zasady montażu urządzeń i elementów wentylacji i klimatyzacji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urządzenia </w:t>
            </w:r>
            <w:r w:rsidRPr="00C516D3">
              <w:rPr>
                <w:rFonts w:ascii="Arial" w:eastAsia="Times New Roman" w:hAnsi="Arial" w:cs="Arial"/>
                <w:sz w:val="20"/>
                <w:szCs w:val="20"/>
                <w:lang w:eastAsia="pl-PL"/>
              </w:rPr>
              <w:br/>
              <w:t xml:space="preserve">i elementy niezbędne </w:t>
            </w:r>
            <w:r w:rsidRPr="00C516D3">
              <w:rPr>
                <w:rFonts w:ascii="Arial" w:eastAsia="Times New Roman" w:hAnsi="Arial" w:cs="Arial"/>
                <w:sz w:val="20"/>
                <w:szCs w:val="20"/>
                <w:lang w:eastAsia="pl-PL"/>
              </w:rPr>
              <w:br/>
              <w:t>do wykonania wentylacji</w:t>
            </w:r>
            <w:r w:rsidRPr="00C516D3">
              <w:rPr>
                <w:rFonts w:ascii="Arial" w:eastAsia="Times New Roman" w:hAnsi="Arial" w:cs="Arial"/>
                <w:sz w:val="20"/>
                <w:szCs w:val="20"/>
                <w:lang w:eastAsia="pl-PL"/>
              </w:rPr>
              <w:br/>
              <w:t xml:space="preserve"> i klimatyzacji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wykonać montaż urządzeń </w:t>
            </w:r>
            <w:r w:rsidRPr="00C516D3">
              <w:rPr>
                <w:rFonts w:ascii="Arial" w:eastAsia="Times New Roman" w:hAnsi="Arial" w:cs="Arial"/>
                <w:sz w:val="20"/>
                <w:szCs w:val="20"/>
                <w:lang w:eastAsia="pl-PL"/>
              </w:rPr>
              <w:br/>
              <w:t>i elementów miejscowej wentylacji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sposoby kontroli pracy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metody oceniania efektów pracy poszczególnych członków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oceny zespołu</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w:t>
            </w:r>
            <w:r w:rsidR="00E644FC" w:rsidRPr="00C516D3">
              <w:rPr>
                <w:rFonts w:ascii="Arial" w:eastAsia="Times New Roman" w:hAnsi="Arial" w:cs="Arial"/>
                <w:sz w:val="20"/>
                <w:szCs w:val="20"/>
                <w:lang w:eastAsia="pl-PL"/>
              </w:rPr>
              <w:t>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8. Obsługiwanie urządzeń wentylacyjnych i klimatyzacyjnych</w:t>
            </w:r>
            <w:r w:rsidRPr="00C516D3">
              <w:rPr>
                <w:rFonts w:ascii="Arial" w:eastAsia="Times New Roman" w:hAnsi="Arial" w:cs="Arial"/>
                <w:sz w:val="20"/>
                <w:szCs w:val="20"/>
                <w:lang w:eastAsia="pl-PL"/>
              </w:rPr>
              <w:tab/>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sprawdzić stan techniczny urządzeń wentylacyjnych </w:t>
            </w:r>
            <w:r w:rsidRPr="00C516D3">
              <w:rPr>
                <w:rFonts w:ascii="Arial" w:eastAsia="Times New Roman" w:hAnsi="Arial" w:cs="Arial"/>
                <w:sz w:val="20"/>
                <w:szCs w:val="20"/>
                <w:lang w:eastAsia="pl-PL"/>
              </w:rPr>
              <w:br/>
              <w:t>i klimatyzacyjnych przed uruchomieniem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uruchomić urządzenia wentylacyjne i klimatyzacyjne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obsługiwać urządzenia wentylacyjne zgodnie z zasadami bezpiecznej obsługi urządzeń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obsługiwać urządzenia klimatyzacyjne zgodnie z zasadami bezpiecznej obsługi urządzeń</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val="restart"/>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II.</w:t>
            </w:r>
            <w:r w:rsidRPr="00C516D3">
              <w:rPr>
                <w:rFonts w:ascii="Times New Roman" w:eastAsia="Times New Roman" w:hAnsi="Times New Roman" w:cs="Times New Roman"/>
                <w:sz w:val="24"/>
                <w:szCs w:val="24"/>
                <w:lang w:eastAsia="pl-PL"/>
              </w:rPr>
              <w:t xml:space="preserve"> </w:t>
            </w:r>
            <w:r w:rsidRPr="00C516D3">
              <w:rPr>
                <w:rFonts w:ascii="Arial" w:eastAsia="Times New Roman" w:hAnsi="Arial" w:cs="Arial"/>
                <w:sz w:val="20"/>
                <w:szCs w:val="20"/>
                <w:lang w:eastAsia="pl-PL"/>
              </w:rPr>
              <w:t>Obsługa maszyn i urządzeń górniczych</w:t>
            </w: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1. Maszyny, urządzenia, sprzęt i instalacje stosowane do urabiania, ładowania i odstawy urobku oraz do transportu wyposażenia i materiałów</w:t>
            </w:r>
          </w:p>
        </w:tc>
        <w:tc>
          <w:tcPr>
            <w:tcW w:w="1470" w:type="dxa"/>
          </w:tcPr>
          <w:p w:rsidR="00E644FC" w:rsidRPr="00C516D3" w:rsidRDefault="003D5D9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42</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wymienić rodzaje maszyn </w:t>
            </w:r>
            <w:r w:rsidRPr="00C516D3">
              <w:rPr>
                <w:rFonts w:ascii="Arial" w:eastAsia="Times New Roman" w:hAnsi="Arial" w:cs="Arial"/>
                <w:sz w:val="20"/>
                <w:szCs w:val="20"/>
                <w:lang w:eastAsia="pl-PL"/>
              </w:rPr>
              <w:br/>
              <w:t>i urządzeń do urabiania kopaliny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wymienić rodzaje maszyn </w:t>
            </w:r>
            <w:r w:rsidRPr="00C516D3">
              <w:rPr>
                <w:rFonts w:ascii="Arial" w:eastAsia="Times New Roman" w:hAnsi="Arial" w:cs="Arial"/>
                <w:sz w:val="20"/>
                <w:szCs w:val="20"/>
                <w:lang w:eastAsia="pl-PL"/>
              </w:rPr>
              <w:br/>
              <w:t xml:space="preserve">i urządzeń do ładowania </w:t>
            </w:r>
            <w:r w:rsidRPr="00C516D3">
              <w:rPr>
                <w:rFonts w:ascii="Arial" w:eastAsia="Times New Roman" w:hAnsi="Arial" w:cs="Arial"/>
                <w:sz w:val="20"/>
                <w:szCs w:val="20"/>
                <w:lang w:eastAsia="pl-PL"/>
              </w:rPr>
              <w:br/>
              <w:t>i odstawy urobku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xml:space="preserve">- wymienić rodzaje maszyn </w:t>
            </w:r>
            <w:r w:rsidRPr="00C516D3">
              <w:rPr>
                <w:rFonts w:ascii="Arial" w:eastAsia="Times New Roman" w:hAnsi="Arial" w:cs="Arial"/>
                <w:sz w:val="20"/>
                <w:szCs w:val="20"/>
                <w:lang w:eastAsia="pl-PL"/>
              </w:rPr>
              <w:br/>
              <w:t>i urządzeń do transportu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maszyny </w:t>
            </w:r>
            <w:r w:rsidRPr="00C516D3">
              <w:rPr>
                <w:rFonts w:ascii="Arial" w:eastAsia="Times New Roman" w:hAnsi="Arial" w:cs="Arial"/>
                <w:sz w:val="20"/>
                <w:szCs w:val="20"/>
                <w:lang w:eastAsia="pl-PL"/>
              </w:rPr>
              <w:br/>
              <w:t>i urządzenia do urabiania, ładowania i transportu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dobrać maszyny, urządzenia i narzędzia do rodzaju wykonywanych prac</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omawiać budowę instalacji dostarczających media</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rozróżniać elementy budowy maszyn i urządzeń górniczych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sprawdzić stan techniczny maszyn i urządzeń przed uruchomieniem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określić zasady uruchomienia maszyn i urządzeń górniczych</w:t>
            </w:r>
          </w:p>
        </w:tc>
        <w:tc>
          <w:tcPr>
            <w:tcW w:w="1417"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xml:space="preserve">Klasa </w:t>
            </w:r>
            <w:r w:rsidR="003D5D9E">
              <w:rPr>
                <w:rFonts w:ascii="Arial" w:eastAsia="Times New Roman" w:hAnsi="Arial" w:cs="Arial"/>
                <w:sz w:val="20"/>
                <w:szCs w:val="20"/>
                <w:lang w:eastAsia="pl-PL"/>
              </w:rPr>
              <w:t>III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2. Roboty związane z urabianiem, ładowaniem i odstawą urobku</w:t>
            </w:r>
          </w:p>
        </w:tc>
        <w:tc>
          <w:tcPr>
            <w:tcW w:w="1470" w:type="dxa"/>
          </w:tcPr>
          <w:p w:rsidR="00E644FC" w:rsidRPr="00C516D3" w:rsidRDefault="003D5D9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56</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roboty związane </w:t>
            </w:r>
            <w:r w:rsidRPr="00C516D3">
              <w:rPr>
                <w:rFonts w:ascii="Arial" w:eastAsia="Times New Roman" w:hAnsi="Arial" w:cs="Arial"/>
                <w:sz w:val="20"/>
                <w:szCs w:val="20"/>
                <w:lang w:eastAsia="pl-PL"/>
              </w:rPr>
              <w:br/>
              <w:t>z urabianiem kopaliny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omawiać roboty związane </w:t>
            </w:r>
            <w:r w:rsidRPr="00C516D3">
              <w:rPr>
                <w:rFonts w:ascii="Arial" w:eastAsia="Times New Roman" w:hAnsi="Arial" w:cs="Arial"/>
                <w:sz w:val="20"/>
                <w:szCs w:val="20"/>
                <w:lang w:eastAsia="pl-PL"/>
              </w:rPr>
              <w:br/>
              <w:t>z urabianiem kopaliny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roboty związane </w:t>
            </w:r>
            <w:r w:rsidRPr="00C516D3">
              <w:rPr>
                <w:rFonts w:ascii="Arial" w:eastAsia="Times New Roman" w:hAnsi="Arial" w:cs="Arial"/>
                <w:sz w:val="20"/>
                <w:szCs w:val="20"/>
                <w:lang w:eastAsia="pl-PL"/>
              </w:rPr>
              <w:br/>
              <w:t>z ładowaniem urobku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roboty związane </w:t>
            </w:r>
            <w:r w:rsidRPr="00C516D3">
              <w:rPr>
                <w:rFonts w:ascii="Arial" w:eastAsia="Times New Roman" w:hAnsi="Arial" w:cs="Arial"/>
                <w:sz w:val="20"/>
                <w:szCs w:val="20"/>
                <w:lang w:eastAsia="pl-PL"/>
              </w:rPr>
              <w:br/>
              <w:t>z odstawą urobku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analizy rozwiązań technicznych i organizacyjnych warunków i jakości pracy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zaproponować typowe rozwiązania techniczne </w:t>
            </w:r>
            <w:r w:rsidRPr="00C516D3">
              <w:rPr>
                <w:rFonts w:ascii="Arial" w:eastAsia="Times New Roman" w:hAnsi="Arial" w:cs="Arial"/>
                <w:sz w:val="20"/>
                <w:szCs w:val="20"/>
                <w:lang w:eastAsia="pl-PL"/>
              </w:rPr>
              <w:br/>
              <w:t>i organizacyjne w celu poprawy jakości pracy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wprowadzić rozwiązania techniczne i organizacyjne w celu poprawy warunków pracy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prostych modernizacji stanowiska pracy</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wykonać roboty związane </w:t>
            </w:r>
            <w:r w:rsidRPr="00C516D3">
              <w:rPr>
                <w:rFonts w:ascii="Arial" w:eastAsia="Times New Roman" w:hAnsi="Arial" w:cs="Arial"/>
                <w:sz w:val="20"/>
                <w:szCs w:val="20"/>
                <w:lang w:eastAsia="pl-PL"/>
              </w:rPr>
              <w:br/>
              <w:t>z ładowaniem urobku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wykonać roboty związane </w:t>
            </w:r>
            <w:r w:rsidRPr="00C516D3">
              <w:rPr>
                <w:rFonts w:ascii="Arial" w:eastAsia="Times New Roman" w:hAnsi="Arial" w:cs="Arial"/>
                <w:sz w:val="20"/>
                <w:szCs w:val="20"/>
                <w:lang w:eastAsia="pl-PL"/>
              </w:rPr>
              <w:br/>
              <w:t>z odstawą urobku</w:t>
            </w:r>
          </w:p>
        </w:tc>
        <w:tc>
          <w:tcPr>
            <w:tcW w:w="1417" w:type="dxa"/>
          </w:tcPr>
          <w:p w:rsidR="00E644FC" w:rsidRPr="00C516D3" w:rsidRDefault="003D5D9E"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3. Roboty związane z transportem wyposażenia i materiałów</w:t>
            </w:r>
          </w:p>
        </w:tc>
        <w:tc>
          <w:tcPr>
            <w:tcW w:w="1470" w:type="dxa"/>
          </w:tcPr>
          <w:p w:rsidR="00E644FC" w:rsidRPr="00C516D3" w:rsidRDefault="003D5D9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42</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roboty związane </w:t>
            </w:r>
            <w:r w:rsidRPr="00C516D3">
              <w:rPr>
                <w:rFonts w:ascii="Arial" w:eastAsia="Times New Roman" w:hAnsi="Arial" w:cs="Arial"/>
                <w:sz w:val="20"/>
                <w:szCs w:val="20"/>
                <w:lang w:eastAsia="pl-PL"/>
              </w:rPr>
              <w:br/>
              <w:t xml:space="preserve">z transportem wyposażenia </w:t>
            </w:r>
            <w:r w:rsidRPr="00C516D3">
              <w:rPr>
                <w:rFonts w:ascii="Arial" w:eastAsia="Times New Roman" w:hAnsi="Arial" w:cs="Arial"/>
                <w:sz w:val="20"/>
                <w:szCs w:val="20"/>
                <w:lang w:eastAsia="pl-PL"/>
              </w:rPr>
              <w:br/>
              <w:t>i materiałów</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określić roboty związane </w:t>
            </w:r>
            <w:r w:rsidRPr="00C516D3">
              <w:rPr>
                <w:rFonts w:ascii="Arial" w:eastAsia="Times New Roman" w:hAnsi="Arial" w:cs="Arial"/>
                <w:sz w:val="20"/>
                <w:szCs w:val="20"/>
                <w:lang w:eastAsia="pl-PL"/>
              </w:rPr>
              <w:br/>
              <w:t>z transportem kolejkami podwieszanymi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określić roboty związane </w:t>
            </w:r>
            <w:r w:rsidRPr="00C516D3">
              <w:rPr>
                <w:rFonts w:ascii="Arial" w:eastAsia="Times New Roman" w:hAnsi="Arial" w:cs="Arial"/>
                <w:sz w:val="20"/>
                <w:szCs w:val="20"/>
                <w:lang w:eastAsia="pl-PL"/>
              </w:rPr>
              <w:br/>
              <w:t>z transportem przenośnikami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xml:space="preserve">- określić roboty związane </w:t>
            </w:r>
            <w:r w:rsidRPr="00C516D3">
              <w:rPr>
                <w:rFonts w:ascii="Arial" w:eastAsia="Times New Roman" w:hAnsi="Arial" w:cs="Arial"/>
                <w:sz w:val="20"/>
                <w:szCs w:val="20"/>
                <w:lang w:eastAsia="pl-PL"/>
              </w:rPr>
              <w:br/>
              <w:t xml:space="preserve">z transportem związanym </w:t>
            </w:r>
            <w:r w:rsidRPr="00C516D3">
              <w:rPr>
                <w:rFonts w:ascii="Arial" w:eastAsia="Times New Roman" w:hAnsi="Arial" w:cs="Arial"/>
                <w:sz w:val="20"/>
                <w:szCs w:val="20"/>
                <w:lang w:eastAsia="pl-PL"/>
              </w:rPr>
              <w:br/>
              <w:t>z podsadzaniem wyrobisk</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określić roboty związane </w:t>
            </w:r>
            <w:r w:rsidRPr="00C516D3">
              <w:rPr>
                <w:rFonts w:ascii="Arial" w:eastAsia="Times New Roman" w:hAnsi="Arial" w:cs="Arial"/>
                <w:sz w:val="20"/>
                <w:szCs w:val="20"/>
                <w:lang w:eastAsia="pl-PL"/>
              </w:rPr>
              <w:br/>
              <w:t>z transportem szynowym i oponowym</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xml:space="preserve">- określić roboty związane </w:t>
            </w:r>
            <w:r w:rsidRPr="00C516D3">
              <w:rPr>
                <w:rFonts w:ascii="Arial" w:eastAsia="Times New Roman" w:hAnsi="Arial" w:cs="Arial"/>
                <w:sz w:val="20"/>
                <w:szCs w:val="20"/>
                <w:lang w:eastAsia="pl-PL"/>
              </w:rPr>
              <w:br/>
              <w:t>z transportem szybowym</w:t>
            </w:r>
          </w:p>
        </w:tc>
        <w:tc>
          <w:tcPr>
            <w:tcW w:w="1417" w:type="dxa"/>
          </w:tcPr>
          <w:p w:rsidR="00E644FC" w:rsidRPr="00C516D3" w:rsidRDefault="003D5D9E"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bl>
    <w:p w:rsidR="00E644FC" w:rsidRPr="00C516D3" w:rsidRDefault="00E644FC" w:rsidP="00E644FC">
      <w:pPr>
        <w:pBdr>
          <w:top w:val="nil"/>
          <w:left w:val="nil"/>
          <w:bottom w:val="nil"/>
          <w:right w:val="nil"/>
          <w:between w:val="nil"/>
        </w:pBdr>
        <w:spacing w:after="0" w:line="360" w:lineRule="auto"/>
        <w:rPr>
          <w:rFonts w:ascii="Arial" w:eastAsia="Times New Roman" w:hAnsi="Arial" w:cs="Arial"/>
          <w:color w:val="000000"/>
          <w:sz w:val="20"/>
          <w:szCs w:val="20"/>
          <w:lang w:eastAsia="pl-PL"/>
        </w:rPr>
      </w:pP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
          <w:bCs/>
          <w:color w:val="000000"/>
          <w:sz w:val="20"/>
          <w:szCs w:val="20"/>
          <w:lang w:eastAsia="pl-PL"/>
        </w:rPr>
      </w:pP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color w:val="000000"/>
          <w:sz w:val="20"/>
          <w:szCs w:val="20"/>
          <w:lang w:eastAsia="pl-PL"/>
        </w:rPr>
      </w:pPr>
      <w:r w:rsidRPr="00C516D3">
        <w:rPr>
          <w:rFonts w:ascii="Arial" w:eastAsia="Times New Roman" w:hAnsi="Arial" w:cs="Arial"/>
          <w:b/>
          <w:color w:val="000000"/>
          <w:sz w:val="20"/>
          <w:szCs w:val="20"/>
          <w:lang w:eastAsia="pl-PL"/>
        </w:rPr>
        <w:t>PROCEDURY OSIĄGANIA CELÓW KSZTAŁCENIA PRZEDMIOTU</w:t>
      </w: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Warunkiem osiągania założonych efektów kształcenia w zakresie przedmiotu Praktyka zawodowa jest opracowanie odpowiednich dla danego zawodu procedur a w tym:</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b/>
          <w:sz w:val="20"/>
          <w:szCs w:val="20"/>
          <w:lang w:eastAsia="pl-PL"/>
        </w:rPr>
      </w:pPr>
      <w:r w:rsidRPr="00C516D3">
        <w:rPr>
          <w:rFonts w:ascii="Arial" w:eastAsia="Times New Roman" w:hAnsi="Arial" w:cs="Arial"/>
          <w:sz w:val="20"/>
          <w:szCs w:val="20"/>
          <w:lang w:eastAsia="pl-PL"/>
        </w:rPr>
        <w:t>zaplanowanie praktyk (wskazanie celów szczególnych jakie powinny zostać osiągnięte),</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b/>
          <w:sz w:val="20"/>
          <w:szCs w:val="20"/>
          <w:lang w:eastAsia="pl-PL"/>
        </w:rPr>
      </w:pPr>
      <w:r w:rsidRPr="00C516D3">
        <w:rPr>
          <w:rFonts w:ascii="Arial" w:eastAsia="Times New Roman" w:hAnsi="Arial" w:cs="Arial"/>
          <w:sz w:val="20"/>
          <w:szCs w:val="20"/>
          <w:lang w:eastAsia="pl-PL"/>
        </w:rPr>
        <w:t>wykorzystanie różnorodnych metod nauczania (szczególnie aktywizujących ucznia do pracy),</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dobór środków dydaktycznych do treści i celów nauczania,</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dobór formy pracy z uczniami – określenie ilości osób w grupie,</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systematyczne sprawdzanie wiedzy i umiejętności uczniów poprzez sprawdziany w formie testów praktycznych i innych form sprawdzania wiedzy </w:t>
      </w:r>
      <w:r w:rsidR="003D5D9E">
        <w:rPr>
          <w:rFonts w:ascii="Arial" w:eastAsia="Times New Roman" w:hAnsi="Arial" w:cs="Arial"/>
          <w:sz w:val="20"/>
          <w:szCs w:val="20"/>
          <w:lang w:eastAsia="pl-PL"/>
        </w:rPr>
        <w:br/>
      </w:r>
      <w:r w:rsidRPr="00C516D3">
        <w:rPr>
          <w:rFonts w:ascii="Arial" w:eastAsia="Times New Roman" w:hAnsi="Arial" w:cs="Arial"/>
          <w:sz w:val="20"/>
          <w:szCs w:val="20"/>
          <w:lang w:eastAsia="pl-PL"/>
        </w:rPr>
        <w:t>i umiejętności w zależności od metody nauczania,</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stosowanie oceniania sumującego i kształtującego,</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przeprowadzanie ewaluacji doboru treści nauczania do założonych celów, metod pracy, środków dydaktycznych, sposobów oceniania i informacji zwrotnej dla ucznia.</w:t>
      </w: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sz w:val="20"/>
          <w:szCs w:val="20"/>
          <w:lang w:eastAsia="pl-PL"/>
        </w:rPr>
      </w:pP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b/>
          <w:color w:val="000000"/>
          <w:sz w:val="20"/>
          <w:szCs w:val="20"/>
          <w:lang w:eastAsia="pl-PL"/>
        </w:rPr>
      </w:pPr>
      <w:r w:rsidRPr="00C516D3">
        <w:rPr>
          <w:rFonts w:ascii="Arial" w:eastAsia="Times New Roman" w:hAnsi="Arial" w:cs="Arial"/>
          <w:b/>
          <w:color w:val="000000"/>
          <w:sz w:val="20"/>
          <w:szCs w:val="20"/>
          <w:lang w:eastAsia="pl-PL"/>
        </w:rPr>
        <w:t>PROPONOWANE METODY SPRAWDZANIA OSIĄGNIĘĆ EDUKACYJNYCH UCZNIA</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Prace indywidualne i zespołowe w formie ćwiczeń praktycznych;</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Próba pracy na stanowisku z pełnym wyposażeniem;</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Testy praktyczne nisko symulowane (w warunkach zbliżonych do oryginalnych);</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Testy praktyczne wysoko symulowane (modele urządzeń, symulatory). </w:t>
      </w: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b/>
          <w:color w:val="000000"/>
          <w:sz w:val="20"/>
          <w:szCs w:val="20"/>
          <w:lang w:eastAsia="pl-PL"/>
        </w:rPr>
      </w:pP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b/>
          <w:color w:val="000000"/>
          <w:sz w:val="20"/>
          <w:szCs w:val="20"/>
          <w:lang w:eastAsia="pl-PL"/>
        </w:rPr>
      </w:pPr>
      <w:r w:rsidRPr="00C516D3">
        <w:rPr>
          <w:rFonts w:ascii="Arial" w:eastAsia="Times New Roman" w:hAnsi="Arial" w:cs="Arial"/>
          <w:b/>
          <w:color w:val="000000"/>
          <w:sz w:val="20"/>
          <w:szCs w:val="20"/>
          <w:lang w:eastAsia="pl-PL"/>
        </w:rPr>
        <w:t>PROPONOWANE METODY EWALUACJI PRZEDMIOTU</w:t>
      </w: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Pokaz z instruktażem,</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Pokaz z objaśnieniem,</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Ćwiczenia przedmiotowe,</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Ćwiczenia produkcyjne,</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Metoda projektów,</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Metoda przewodniego tekstu,</w:t>
      </w: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W zakresie kształcenia zawodowego bardzo dobrze sprawdza się również nauczanie problemowe ze szczególnym uwzględnieniem metod aktywizujących:</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Metoda przypadków,</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Metoda sytuacyjna,</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Inscenizacja,</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Dyskusja dydaktyczna,</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Gry dydaktyczne.</w:t>
      </w: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
          <w:bCs/>
          <w:color w:val="000000"/>
          <w:sz w:val="20"/>
          <w:szCs w:val="20"/>
          <w:lang w:eastAsia="pl-PL"/>
        </w:rPr>
      </w:pPr>
      <w:r w:rsidRPr="00C516D3">
        <w:rPr>
          <w:rFonts w:ascii="Arial" w:eastAsia="Times New Roman" w:hAnsi="Arial" w:cs="Arial"/>
          <w:b/>
          <w:bCs/>
          <w:color w:val="000000"/>
          <w:sz w:val="20"/>
          <w:szCs w:val="20"/>
          <w:lang w:eastAsia="pl-PL"/>
        </w:rPr>
        <w:t>EWALUACJA PRZEDMIOTU</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Podczas realizacji procesu ewaluacji przedmiotu o charakterze praktycznym zaleca się stosować głównie metod jakościowych. W przypadku zastosowania metod jakościowych (wywiad, obserwacja, analiza dokumentów) istotnym elementem jest ocena prawidłowości wykonania zadania. W trakcie badań ewaluacyjnych powinno się zastosować wiele metod badawczych. Daje to możliwość na uzupełnienie oraz pogłębienie danych i informacji zdobytych jedną metodą, innymi, a także, co istotne, sprzyja zachowaniu obiektywizmu.</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W przypadku przedmiotu praktycznego jedną z ważnych metod jest samoocena nauczyciela, który ocenia przygotowanie treści nauczania, środków dydaktycznych i metod nauczania do ćwiczeń oraz ich dobór do nauczanej grupy osób a nawet do poszczególnych uczniów. Powinien też dokonać oceny posiadanych materiałów dydaktycznych: próbek materiałów i produktów poligraficznych, materiałów wideo czy dostępnych elementów wyposażenia pracowni.</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W obliczu postępu technicznego, ewaluacja poprzez samoocenę jest niezbędna do późniejszej oceny stanu aktualności wiedzy przekazywanej uczniowi.</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Kluczowe umiejętności podlegające ewaluacji w ramach przedmiotu Praktyka zawodowa dotyczą:</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Poznania zakresu robót górniczych związanych z drążeniem i utrzymaniem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Poznania metod drążenia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Poznania robót górniczych związanych z likwidacją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Doboru parametrów drążenia i przebudowy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Zdobycie wiedzy na temat zasad wykonywania robót strzałowych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Wykonywania zabezpieczeń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Obsługi urządzeń wentylacyjnych i klimatyzacyjnych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Zasad obsługi maszyn, urządzeń, sprzętu i instalacji stosowanych do urabiania, ładowania i odstawy urobku oraz do transportu wyposażenia i materiałów</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Poznania robót  związanych z urabianiem, ładowaniem i odstawą urobku</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Poznania robót  związanych z transportem wyposażenia i materiałów</w:t>
      </w:r>
    </w:p>
    <w:p w:rsidR="00081F17" w:rsidRDefault="00081F17"/>
    <w:sectPr w:rsidR="00081F17" w:rsidSect="00E644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196A5D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000003B"/>
    <w:multiLevelType w:val="hybridMultilevel"/>
    <w:tmpl w:val="5A364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0000044"/>
    <w:multiLevelType w:val="hybridMultilevel"/>
    <w:tmpl w:val="E1AC2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0000049"/>
    <w:multiLevelType w:val="hybridMultilevel"/>
    <w:tmpl w:val="81BC95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00004C"/>
    <w:multiLevelType w:val="hybridMultilevel"/>
    <w:tmpl w:val="D9508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FC"/>
    <w:rsid w:val="00081F17"/>
    <w:rsid w:val="000A7BEB"/>
    <w:rsid w:val="003D5D9E"/>
    <w:rsid w:val="00723E77"/>
    <w:rsid w:val="00D6568E"/>
    <w:rsid w:val="00E64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BEA9-47FE-4E12-8C79-2EFFD6B6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4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Łyko</dc:creator>
  <cp:keywords/>
  <dc:description/>
  <cp:lastModifiedBy>Damian Łyko</cp:lastModifiedBy>
  <cp:revision>1</cp:revision>
  <dcterms:created xsi:type="dcterms:W3CDTF">2020-12-29T12:45:00Z</dcterms:created>
  <dcterms:modified xsi:type="dcterms:W3CDTF">2020-12-29T12:50:00Z</dcterms:modified>
</cp:coreProperties>
</file>