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Vzdelávanie 4.0 – prepojenie teórie s praxou 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2. február 2021</w:t>
            </w:r>
            <w:bookmarkStart w:id="0" w:name="_GoBack"/>
            <w:bookmarkEnd w:id="0"/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 SOŠ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k výstupom pedagogického klubu. Účastníci mali možnosť zdieľať názory a postoje k implementácii inovatívnych metodík v uvedenej oblasti  a zdieľali svoje OPS. Stretnutie bolo ukončené zhrnutím.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rozvoj kritického myslenia, výstup pedagogického klubu, metakognícia.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Výstupy pedagogického klubu.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rozvoj čitateľskej gramotnosti, kritické myslenie, výstup klubu, tvorba vízie.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 činnosti klubu, spätná väzba.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skúseností s implementáciou inovatívnych metodík.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 s kľúčovými bodmi pre ďalšie smerovanie klubu.</w:t>
            </w:r>
          </w:p>
        </w:tc>
      </w:tr>
      <w:tr>
        <w:trPr>
          <w:trHeight w:val="722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základe diskusie sme sa zhodli, že je potrebné podporovať a rozvíjať metakognitívne schopnosti žiakov, ktoré zároveň rozvíjajú ich schopnosti  a dosiahnutie úspešnosti aj v iných vyučovacích predmetoch.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Podstatou efektívneho prístupu, ktorý rozvíja metakogníciu  je členenie práce s textom na tri etapy: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Metakognitívne procesy pred čítaním textu predstavujú svojím spôsobom plánovanie, počas ktorého si čitateľ uvedomuje niektoré vlastnosti textu: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– </w:t>
            </w:r>
            <w:r>
              <w:rPr>
                <w:rFonts w:ascii="Times New Roman" w:hAnsi="Times New Roman"/>
                <w:bCs/>
              </w:rPr>
              <w:t xml:space="preserve">jeho rozsah, obťažnosť, tému, zaujímavosť, žáner, štruktúru, súvislosť s inými textami a pod. Žiak odhaduje obsah textu podľa nadpisu, titulkov a aktivizuje niektoré vedomosti, ktoré má o téme. Podľa rozsahu plánuje, koľko času bude potrebovať na čítanie. Stanoví si cieľ čítania pomocou otázok: „načo text budem čítať? Kvôli vyhľadávaniu informácii, reprodukcii, vysloveniu vlastného názoru?“ Metakognitívne procesy v priebehu čítania textu sa realizujú štyrmi základnými postupmi v rôznych modifikáciách: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• </w:t>
            </w:r>
            <w:r>
              <w:rPr>
                <w:rFonts w:ascii="Times New Roman" w:hAnsi="Times New Roman"/>
                <w:bCs/>
              </w:rPr>
              <w:t xml:space="preserve">objasňovanie nejasných častí textu – vyjadrenie obsahu vlastnými slovami s dôrazom na sporné a nejasné miesta (za pomoci učiteľa, neskôr samostatne),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• </w:t>
            </w:r>
            <w:r>
              <w:rPr>
                <w:rFonts w:ascii="Times New Roman" w:hAnsi="Times New Roman"/>
                <w:bCs/>
              </w:rPr>
              <w:t xml:space="preserve">kladenie otázok žiakmi (doslovné na vyhľadávanie explicitne uvedených informácií, vyvodzovacie na zistenie implicitne uvedených informácií) ako prostriedok monitorovania svojho porozumenia,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• </w:t>
            </w:r>
            <w:r>
              <w:rPr>
                <w:rFonts w:ascii="Times New Roman" w:hAnsi="Times New Roman"/>
                <w:bCs/>
              </w:rPr>
              <w:t xml:space="preserve">tvorba súhrnov – formulovanie hlavných myšlienok textu selekciou informácií alebo vytvorením zhustenej verzie textu na základe integrácie informácií a zovšeobecňovania,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• </w:t>
            </w:r>
            <w:r>
              <w:rPr>
                <w:rFonts w:ascii="Times New Roman" w:hAnsi="Times New Roman"/>
                <w:bCs/>
              </w:rPr>
              <w:t xml:space="preserve">predpovedanie obsahu ďalšieho úseku textu (prognózovanie)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– </w:t>
            </w:r>
            <w:r>
              <w:rPr>
                <w:rFonts w:ascii="Times New Roman" w:hAnsi="Times New Roman"/>
                <w:bCs/>
              </w:rPr>
              <w:t xml:space="preserve">čitateľ vyvodzuje čiastkové závery o ďalšej časti textu a vzápätí si ich overuje prečítaním, čím sa nastaví na predpokladaný obsah, a tak sa jeho porozumenie stáva pružnejším a lepším.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Metakognitívne procesy po prečítaní textu slúžia na reflexiu prečítaného a zhodnotenie úspešnosti porozumenia. Činnosti po prečítaní textu môžu zvýšiť porozumenie, odstrániť nepresné miesta, zlepšiť zapamätanie a poukázať na praktické uplatnenie informácií z textu. Žiak môže vyjadriť svoj názor na obsah textu, zhodnotiť ho. Odpovedá na otázky: Dosiahol som svoj cieľ? čo som sa naučil? V prípade dosiahnutia cieľa čitateľ prejde k činnostiam, v ktorých využíva poznatky získané z textu, v opačnom prípade prečíta text ešte raz, alebo vyhľadá iný zdroj informácií.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Čitateľ si vyberá z repertoáru metakognitívnych procesov tie, ktoré ovláda, preferuje, ktoré si vyžadujú riešenie danej úlohy alebo vlastnosti textu. Výber a aplikácia vhodných procesov sú prejavom učebného štýlu žiaka.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Best Practice- divergentné versus konvergentné myslenie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každej fáze procesu analyzovania okolitých javov zapojujeme dva typy myslenia: konvergentné alebo divergentné.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Konvergencia – znamená spájať, zlučovať do konkrétneho bodu. Každý z uhlov pohľadu na daný problém zúžime a sústredíme sa len na jeden aspekt riešenej úlohy, pracujeme v konvergentnom režime.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Divergentný spôsob myslenia otvára myseľ novým nápadom a možnostiam. Divergencia podporuje kreatívne myslenie, alternatívy.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Konvergentné myslenie – zapája sa ľavá hemisféra, divergentné myslenie – pravá hemisféra.</w:t>
            </w:r>
          </w:p>
          <w:tbl>
            <w:tblPr>
              <w:tblStyle w:val="Mriekatabuky"/>
              <w:tblW w:w="883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418"/>
              <w:gridCol w:w="4417"/>
            </w:tblGrid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Ľavá hemisféra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Pravá hemisféra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analýza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emócie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čísla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 xml:space="preserve">Hudba, intuícia, 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Hodnotenie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predstavivosť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Jazyk, logika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rytmus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pamäť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 xml:space="preserve">Syntéza, 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Postupnosť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Umelecké sklony</w:t>
                  </w:r>
                </w:p>
              </w:tc>
            </w:tr>
            <w:tr>
              <w:trPr/>
              <w:tc>
                <w:tcPr>
                  <w:tcW w:w="4418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Konvergentné myslenie</w:t>
                  </w:r>
                </w:p>
              </w:tc>
              <w:tc>
                <w:tcPr>
                  <w:tcW w:w="4417" w:type="dxa"/>
                  <w:tcBorders/>
                </w:tcPr>
                <w:p>
                  <w:pPr>
                    <w:pStyle w:val="Normal"/>
                    <w:widowControl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eastAsia="Calibri" w:cs="Times New Roman" w:ascii="Times New Roman" w:hAnsi="Times New Roman"/>
                      <w:bCs/>
                      <w:kern w:val="0"/>
                      <w:lang w:val="sk-SK" w:bidi="ar-SA"/>
                    </w:rPr>
                    <w:t>Divergentné myslenie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sa ďalej zaoberať uvedenou témou a aplikovať uvedené prístupy do edukácie.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28"/>
        <w:gridCol w:w="5033"/>
      </w:tblGrid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Romana Birošová, MBA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február</w:t>
            </w:r>
            <w:r>
              <w:rPr>
                <w:rFonts w:ascii="Times New Roman" w:hAnsi="Times New Roman"/>
              </w:rPr>
              <w:t xml:space="preserve"> 2021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Emil Blicha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február </w:t>
            </w:r>
            <w:r>
              <w:rPr>
                <w:rFonts w:ascii="Times New Roman" w:hAnsi="Times New Roman"/>
              </w:rPr>
              <w:t>2021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Miesto konania stretnutia: </w:t>
      </w:r>
      <w:r>
        <w:rPr>
          <w:rFonts w:ascii="Times New Roman" w:hAnsi="Times New Roman"/>
          <w:b/>
        </w:rPr>
        <w:t>S SOŠ ELBA, Smetanova 2, 080 05 Prešov</w:t>
      </w:r>
    </w:p>
    <w:p>
      <w:pPr>
        <w:pStyle w:val="Normal"/>
        <w:rPr/>
      </w:pPr>
      <w:r>
        <w:rPr/>
        <w:t xml:space="preserve">Dátum konania stretnutia: </w:t>
      </w:r>
      <w:r>
        <w:rPr>
          <w:b/>
          <w:bCs/>
        </w:rPr>
        <w:t>2. február 2021</w:t>
      </w:r>
    </w:p>
    <w:p>
      <w:pPr>
        <w:pStyle w:val="Normal"/>
        <w:rPr/>
      </w:pPr>
      <w:r>
        <w:rPr/>
        <w:t xml:space="preserve">Trvanie stretnutia: </w:t>
      </w:r>
      <w:r>
        <w:rPr>
          <w:b/>
          <w:bCs/>
        </w:rPr>
        <w:t>od.14,45 hod.</w:t>
        <w:tab/>
        <w:t>do 17,45 hod.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28"/>
        <w:gridCol w:w="2305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Romana Birošová MBA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Ing. Emil Blicha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3.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Mgr. Miroslava Marcinková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 xml:space="preserve">4.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PhDr. Andrea Marušinová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Bc. Emília Miklošová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S 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1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numPr>
        <w:ilvl w:val="0"/>
        <w:numId w:val="5"/>
      </w:numPr>
      <w:tabs>
        <w:tab w:val="clear" w:pos="708"/>
        <w:tab w:val="left" w:pos="567" w:leader="none"/>
        <w:tab w:val="left" w:pos="1134" w:leader="none"/>
      </w:tabs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6</Pages>
  <Words>1187</Words>
  <Characters>7381</Characters>
  <CharactersWithSpaces>8541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2021-05-25T08:55:00Z</dcterms:created>
  <dc:creator>Feková Eva</dc:creator>
  <dc:description/>
  <dc:language>en-US</dc:language>
  <cp:lastModifiedBy/>
  <cp:lastPrinted>2020-05-28T09:14:00Z</cp:lastPrinted>
  <dcterms:modified xsi:type="dcterms:W3CDTF">2021-07-12T09:04:00Z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